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84" w:rsidRDefault="00BF4B84" w:rsidP="00BF4B84">
      <w:pPr>
        <w:ind w:left="1440" w:firstLine="720"/>
        <w:jc w:val="center"/>
        <w:rPr>
          <w:b/>
          <w:sz w:val="24"/>
        </w:rPr>
      </w:pPr>
      <w:bookmarkStart w:id="0" w:name="_GoBack"/>
      <w:bookmarkEnd w:id="0"/>
      <w:r w:rsidRPr="00BF4B84">
        <w:rPr>
          <w:rFonts w:ascii="Trebuchet MS" w:hAnsi="Trebuchet MS"/>
          <w:b/>
          <w:noProof/>
          <w:color w:val="004F6B"/>
          <w:sz w:val="28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35B915A0" wp14:editId="187F774A">
            <wp:simplePos x="0" y="0"/>
            <wp:positionH relativeFrom="column">
              <wp:posOffset>4511040</wp:posOffset>
            </wp:positionH>
            <wp:positionV relativeFrom="paragraph">
              <wp:posOffset>-297180</wp:posOffset>
            </wp:positionV>
            <wp:extent cx="2265045" cy="388620"/>
            <wp:effectExtent l="0" t="0" r="0" b="0"/>
            <wp:wrapSquare wrapText="bothSides"/>
            <wp:docPr id="1" name="Picture 1" descr="HW_De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_Derb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E5" w:rsidRDefault="00BF4B84" w:rsidP="00BF4B84">
      <w:pPr>
        <w:ind w:firstLine="720"/>
        <w:jc w:val="center"/>
        <w:rPr>
          <w:b/>
          <w:sz w:val="24"/>
        </w:rPr>
      </w:pPr>
      <w:r w:rsidRPr="00BF4B84">
        <w:rPr>
          <w:b/>
          <w:sz w:val="24"/>
        </w:rPr>
        <w:t>Healthwatch Derby Service Sector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BF4B84" w:rsidTr="00BF4B84">
        <w:tc>
          <w:tcPr>
            <w:tcW w:w="4077" w:type="dxa"/>
            <w:shd w:val="clear" w:color="auto" w:fill="BFBFBF" w:themeFill="background1" w:themeFillShade="BF"/>
          </w:tcPr>
          <w:p w:rsidR="00BF4B84" w:rsidRPr="00BF4B84" w:rsidRDefault="00BF4B84" w:rsidP="00BF4B84">
            <w:pPr>
              <w:rPr>
                <w:b/>
              </w:rPr>
            </w:pPr>
            <w:r w:rsidRPr="00BF4B84">
              <w:rPr>
                <w:b/>
              </w:rPr>
              <w:t>Reporting to:</w:t>
            </w:r>
          </w:p>
        </w:tc>
        <w:tc>
          <w:tcPr>
            <w:tcW w:w="6605" w:type="dxa"/>
          </w:tcPr>
          <w:p w:rsidR="00BF4B84" w:rsidRDefault="00BF4B84" w:rsidP="00BF4B84">
            <w:pPr>
              <w:jc w:val="center"/>
            </w:pPr>
            <w:r>
              <w:t>Bi-monthly  Themes, Trends and Analysis meeting</w:t>
            </w:r>
            <w:r w:rsidR="007C072B">
              <w:t xml:space="preserve"> / Stakeholders</w:t>
            </w:r>
          </w:p>
        </w:tc>
      </w:tr>
      <w:tr w:rsidR="00BF4B84" w:rsidTr="00BF4B84">
        <w:tc>
          <w:tcPr>
            <w:tcW w:w="4077" w:type="dxa"/>
            <w:shd w:val="clear" w:color="auto" w:fill="BFBFBF" w:themeFill="background1" w:themeFillShade="BF"/>
          </w:tcPr>
          <w:p w:rsidR="00BF4B84" w:rsidRPr="00BF4B84" w:rsidRDefault="00BF4B84" w:rsidP="00BF4B84">
            <w:pPr>
              <w:rPr>
                <w:b/>
              </w:rPr>
            </w:pPr>
            <w:r w:rsidRPr="00BF4B84">
              <w:rPr>
                <w:b/>
              </w:rPr>
              <w:t>Sector:</w:t>
            </w:r>
          </w:p>
        </w:tc>
        <w:tc>
          <w:tcPr>
            <w:tcW w:w="6605" w:type="dxa"/>
          </w:tcPr>
          <w:p w:rsidR="00BF4B84" w:rsidRDefault="0007367C" w:rsidP="00BF4B84">
            <w:pPr>
              <w:jc w:val="center"/>
            </w:pPr>
            <w:r>
              <w:t>Primary Care</w:t>
            </w:r>
          </w:p>
        </w:tc>
      </w:tr>
      <w:tr w:rsidR="00BF4B84" w:rsidTr="00BF4B84">
        <w:tc>
          <w:tcPr>
            <w:tcW w:w="4077" w:type="dxa"/>
            <w:shd w:val="clear" w:color="auto" w:fill="BFBFBF" w:themeFill="background1" w:themeFillShade="BF"/>
          </w:tcPr>
          <w:p w:rsidR="00BF4B84" w:rsidRPr="00BF4B84" w:rsidRDefault="00BF4B84" w:rsidP="00BF4B84">
            <w:pPr>
              <w:rPr>
                <w:b/>
              </w:rPr>
            </w:pPr>
            <w:r w:rsidRPr="00BF4B84">
              <w:rPr>
                <w:b/>
              </w:rPr>
              <w:t>Report written by:</w:t>
            </w:r>
          </w:p>
        </w:tc>
        <w:tc>
          <w:tcPr>
            <w:tcW w:w="6605" w:type="dxa"/>
          </w:tcPr>
          <w:p w:rsidR="00BF4B84" w:rsidRDefault="0007367C" w:rsidP="00BF4B84">
            <w:pPr>
              <w:jc w:val="center"/>
            </w:pPr>
            <w:r>
              <w:t>Francesca Roberts</w:t>
            </w:r>
            <w:r w:rsidR="008A18ED">
              <w:t xml:space="preserve"> / Beth Soraka </w:t>
            </w:r>
          </w:p>
        </w:tc>
      </w:tr>
      <w:tr w:rsidR="00BF4B84" w:rsidTr="00BF4B84">
        <w:trPr>
          <w:trHeight w:val="58"/>
        </w:trPr>
        <w:tc>
          <w:tcPr>
            <w:tcW w:w="4077" w:type="dxa"/>
            <w:shd w:val="clear" w:color="auto" w:fill="BFBFBF" w:themeFill="background1" w:themeFillShade="BF"/>
          </w:tcPr>
          <w:p w:rsidR="00BF4B84" w:rsidRPr="00BF4B84" w:rsidRDefault="00BF4B84" w:rsidP="00BF4B84">
            <w:pPr>
              <w:rPr>
                <w:b/>
              </w:rPr>
            </w:pPr>
            <w:r w:rsidRPr="00BF4B84">
              <w:rPr>
                <w:b/>
              </w:rPr>
              <w:t xml:space="preserve">Date periods covered in the report: </w:t>
            </w:r>
          </w:p>
        </w:tc>
        <w:tc>
          <w:tcPr>
            <w:tcW w:w="6605" w:type="dxa"/>
          </w:tcPr>
          <w:p w:rsidR="00BF4B84" w:rsidRDefault="0007367C" w:rsidP="00BF4B84">
            <w:pPr>
              <w:jc w:val="center"/>
            </w:pPr>
            <w:r>
              <w:t>April – June 2020</w:t>
            </w:r>
          </w:p>
        </w:tc>
      </w:tr>
    </w:tbl>
    <w:p w:rsidR="00BF4B84" w:rsidRDefault="00BF4B84" w:rsidP="00BF4B84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3"/>
        <w:gridCol w:w="1775"/>
        <w:gridCol w:w="420"/>
        <w:gridCol w:w="1354"/>
        <w:gridCol w:w="914"/>
        <w:gridCol w:w="861"/>
        <w:gridCol w:w="1775"/>
      </w:tblGrid>
      <w:tr w:rsidR="00BF4B84" w:rsidTr="00AF100D">
        <w:tc>
          <w:tcPr>
            <w:tcW w:w="10682" w:type="dxa"/>
            <w:gridSpan w:val="9"/>
            <w:shd w:val="clear" w:color="auto" w:fill="BFBFBF" w:themeFill="background1" w:themeFillShade="BF"/>
          </w:tcPr>
          <w:p w:rsidR="00BF4B84" w:rsidRPr="00AF100D" w:rsidRDefault="00BF4B84" w:rsidP="00BF4B84">
            <w:pPr>
              <w:jc w:val="center"/>
              <w:rPr>
                <w:b/>
              </w:rPr>
            </w:pPr>
            <w:r w:rsidRPr="00AF100D">
              <w:rPr>
                <w:b/>
              </w:rPr>
              <w:t>Snap Shot of the Report</w:t>
            </w:r>
          </w:p>
        </w:tc>
      </w:tr>
      <w:tr w:rsidR="00BF4B84" w:rsidTr="00AF100D">
        <w:tc>
          <w:tcPr>
            <w:tcW w:w="1809" w:type="dxa"/>
            <w:shd w:val="clear" w:color="auto" w:fill="BFBFBF" w:themeFill="background1" w:themeFillShade="BF"/>
          </w:tcPr>
          <w:p w:rsidR="00BF4B84" w:rsidRPr="00AF100D" w:rsidRDefault="00BF4B84" w:rsidP="00BF4B84">
            <w:pPr>
              <w:jc w:val="center"/>
              <w:rPr>
                <w:b/>
              </w:rPr>
            </w:pPr>
            <w:r w:rsidRPr="00AF100D">
              <w:rPr>
                <w:b/>
              </w:rPr>
              <w:t>Amount of Cases</w:t>
            </w:r>
          </w:p>
        </w:tc>
        <w:tc>
          <w:tcPr>
            <w:tcW w:w="8873" w:type="dxa"/>
            <w:gridSpan w:val="8"/>
          </w:tcPr>
          <w:p w:rsidR="00BF4B84" w:rsidRDefault="00D51785" w:rsidP="00D51785">
            <w:r>
              <w:t xml:space="preserve">                                             </w:t>
            </w:r>
            <w:r w:rsidR="007D488D">
              <w:t xml:space="preserve">                             111</w:t>
            </w:r>
          </w:p>
        </w:tc>
      </w:tr>
      <w:tr w:rsidR="00BF4B84" w:rsidTr="00AF100D">
        <w:tc>
          <w:tcPr>
            <w:tcW w:w="1809" w:type="dxa"/>
            <w:shd w:val="clear" w:color="auto" w:fill="BFBFBF" w:themeFill="background1" w:themeFillShade="BF"/>
          </w:tcPr>
          <w:p w:rsidR="00BF4B84" w:rsidRPr="00AF100D" w:rsidRDefault="00BF4B84" w:rsidP="00BF4B84">
            <w:pPr>
              <w:jc w:val="center"/>
              <w:rPr>
                <w:b/>
              </w:rPr>
            </w:pPr>
            <w:r w:rsidRPr="00AF100D">
              <w:rPr>
                <w:b/>
              </w:rPr>
              <w:t>Themes Areas:</w:t>
            </w:r>
          </w:p>
        </w:tc>
        <w:tc>
          <w:tcPr>
            <w:tcW w:w="1701" w:type="dxa"/>
          </w:tcPr>
          <w:p w:rsidR="00BF4B84" w:rsidRDefault="00BF4B84" w:rsidP="00BF4B84">
            <w:r>
              <w:t xml:space="preserve">Access: </w:t>
            </w:r>
            <w:r w:rsidR="00FC3A6F">
              <w:t>54</w:t>
            </w:r>
          </w:p>
        </w:tc>
        <w:tc>
          <w:tcPr>
            <w:tcW w:w="2268" w:type="dxa"/>
            <w:gridSpan w:val="3"/>
          </w:tcPr>
          <w:p w:rsidR="00BF4B84" w:rsidRDefault="00BF4B84" w:rsidP="00380E3F">
            <w:r>
              <w:t>Administration:</w:t>
            </w:r>
            <w:r w:rsidR="007D488D">
              <w:t xml:space="preserve"> </w:t>
            </w:r>
            <w:r w:rsidR="00380E3F">
              <w:t>N/A</w:t>
            </w:r>
          </w:p>
        </w:tc>
        <w:tc>
          <w:tcPr>
            <w:tcW w:w="2268" w:type="dxa"/>
            <w:gridSpan w:val="2"/>
          </w:tcPr>
          <w:p w:rsidR="00BF4B84" w:rsidRDefault="00BF4B84" w:rsidP="00BF4B84">
            <w:r>
              <w:t>Treatment/Care:</w:t>
            </w:r>
            <w:r w:rsidR="007D488D">
              <w:t xml:space="preserve"> 210</w:t>
            </w:r>
          </w:p>
        </w:tc>
        <w:tc>
          <w:tcPr>
            <w:tcW w:w="2636" w:type="dxa"/>
            <w:gridSpan w:val="2"/>
          </w:tcPr>
          <w:p w:rsidR="00BF4B84" w:rsidRDefault="00BF4B84" w:rsidP="00BF4B84">
            <w:r>
              <w:t>Rights / Wellbeing:</w:t>
            </w:r>
            <w:r w:rsidR="007D488D">
              <w:t xml:space="preserve"> 27</w:t>
            </w:r>
          </w:p>
        </w:tc>
      </w:tr>
      <w:tr w:rsidR="00AF100D" w:rsidTr="00AF100D">
        <w:tc>
          <w:tcPr>
            <w:tcW w:w="1809" w:type="dxa"/>
            <w:shd w:val="clear" w:color="auto" w:fill="BFBFBF" w:themeFill="background1" w:themeFillShade="BF"/>
          </w:tcPr>
          <w:p w:rsidR="00AF100D" w:rsidRPr="00AF100D" w:rsidRDefault="00AF100D" w:rsidP="00BF4B84">
            <w:pPr>
              <w:jc w:val="center"/>
              <w:rPr>
                <w:b/>
                <w:highlight w:val="lightGray"/>
              </w:rPr>
            </w:pPr>
            <w:r w:rsidRPr="00AF100D">
              <w:rPr>
                <w:rFonts w:cs="Open Sans"/>
                <w:b/>
                <w:bCs/>
                <w:highlight w:val="lightGray"/>
                <w:shd w:val="clear" w:color="auto" w:fill="FFFFFF"/>
              </w:rPr>
              <w:t>Sentiments</w:t>
            </w:r>
            <w:r w:rsidR="0007367C">
              <w:rPr>
                <w:rFonts w:cs="Open Sans"/>
                <w:b/>
                <w:bCs/>
                <w:highlight w:val="lightGray"/>
                <w:shd w:val="clear" w:color="auto" w:fill="FFFFFF"/>
              </w:rPr>
              <w:t>:</w:t>
            </w:r>
          </w:p>
        </w:tc>
        <w:tc>
          <w:tcPr>
            <w:tcW w:w="1774" w:type="dxa"/>
            <w:gridSpan w:val="2"/>
          </w:tcPr>
          <w:p w:rsidR="00AF100D" w:rsidRDefault="00AF100D" w:rsidP="00BF4B84">
            <w:r>
              <w:t>Negative:</w:t>
            </w:r>
            <w:r w:rsidR="007D488D">
              <w:t xml:space="preserve"> 6</w:t>
            </w:r>
          </w:p>
        </w:tc>
        <w:tc>
          <w:tcPr>
            <w:tcW w:w="1775" w:type="dxa"/>
          </w:tcPr>
          <w:p w:rsidR="00AF100D" w:rsidRDefault="00AF100D" w:rsidP="00BF4B84">
            <w:r>
              <w:t>Neutral:</w:t>
            </w:r>
            <w:r w:rsidR="0007367C">
              <w:t xml:space="preserve"> 1</w:t>
            </w:r>
          </w:p>
        </w:tc>
        <w:tc>
          <w:tcPr>
            <w:tcW w:w="1774" w:type="dxa"/>
            <w:gridSpan w:val="2"/>
          </w:tcPr>
          <w:p w:rsidR="00AF100D" w:rsidRDefault="00AF100D" w:rsidP="00AF100D">
            <w:r>
              <w:t xml:space="preserve"> Mixed:</w:t>
            </w:r>
            <w:r w:rsidR="00FC3A6F">
              <w:t xml:space="preserve"> 29</w:t>
            </w:r>
          </w:p>
        </w:tc>
        <w:tc>
          <w:tcPr>
            <w:tcW w:w="1775" w:type="dxa"/>
            <w:gridSpan w:val="2"/>
          </w:tcPr>
          <w:p w:rsidR="00AF100D" w:rsidRDefault="00AF100D" w:rsidP="00BF4B84">
            <w:r>
              <w:t>Positive:</w:t>
            </w:r>
            <w:r w:rsidR="007D488D">
              <w:t xml:space="preserve"> 74</w:t>
            </w:r>
          </w:p>
        </w:tc>
        <w:tc>
          <w:tcPr>
            <w:tcW w:w="1775" w:type="dxa"/>
          </w:tcPr>
          <w:p w:rsidR="00AF100D" w:rsidRDefault="00AF100D" w:rsidP="00BF4B84">
            <w:r>
              <w:t>Unclear:</w:t>
            </w:r>
            <w:r w:rsidR="0007367C">
              <w:t xml:space="preserve"> 1</w:t>
            </w:r>
          </w:p>
        </w:tc>
      </w:tr>
      <w:tr w:rsidR="00AF100D" w:rsidTr="00AF100D">
        <w:tc>
          <w:tcPr>
            <w:tcW w:w="1809" w:type="dxa"/>
            <w:shd w:val="clear" w:color="auto" w:fill="BFBFBF" w:themeFill="background1" w:themeFillShade="BF"/>
          </w:tcPr>
          <w:p w:rsidR="00AF100D" w:rsidRPr="00AF100D" w:rsidRDefault="00AF100D" w:rsidP="00BF4B84">
            <w:pPr>
              <w:jc w:val="center"/>
              <w:rPr>
                <w:rFonts w:cs="Open Sans"/>
                <w:b/>
                <w:bCs/>
                <w:highlight w:val="lightGray"/>
                <w:shd w:val="clear" w:color="auto" w:fill="FFFFFF"/>
              </w:rPr>
            </w:pPr>
            <w:r w:rsidRPr="00AF100D">
              <w:rPr>
                <w:rFonts w:cs="Open Sans"/>
                <w:b/>
                <w:bCs/>
                <w:highlight w:val="lightGray"/>
                <w:shd w:val="clear" w:color="auto" w:fill="FFFFFF"/>
              </w:rPr>
              <w:t>Case Types</w:t>
            </w:r>
            <w:r w:rsidR="0007367C">
              <w:rPr>
                <w:rFonts w:cs="Open Sans"/>
                <w:b/>
                <w:bCs/>
                <w:highlight w:val="lightGray"/>
                <w:shd w:val="clear" w:color="auto" w:fill="FFFFFF"/>
              </w:rPr>
              <w:t>:</w:t>
            </w:r>
          </w:p>
        </w:tc>
        <w:tc>
          <w:tcPr>
            <w:tcW w:w="1774" w:type="dxa"/>
            <w:gridSpan w:val="2"/>
          </w:tcPr>
          <w:p w:rsidR="00AF100D" w:rsidRDefault="00AF100D" w:rsidP="00AF100D">
            <w:r>
              <w:t>General Comment</w:t>
            </w:r>
            <w:r w:rsidR="0007367C">
              <w:t>:</w:t>
            </w:r>
            <w:r w:rsidR="00FC3A6F">
              <w:t xml:space="preserve"> 38</w:t>
            </w:r>
          </w:p>
        </w:tc>
        <w:tc>
          <w:tcPr>
            <w:tcW w:w="1775" w:type="dxa"/>
          </w:tcPr>
          <w:p w:rsidR="00AF100D" w:rsidRDefault="00AF100D" w:rsidP="00BF4B84">
            <w:r>
              <w:t>Informal Complaint</w:t>
            </w:r>
            <w:r w:rsidR="0007367C">
              <w:t>:</w:t>
            </w:r>
            <w:r w:rsidR="007D488D">
              <w:t xml:space="preserve"> 5</w:t>
            </w:r>
          </w:p>
        </w:tc>
        <w:tc>
          <w:tcPr>
            <w:tcW w:w="1774" w:type="dxa"/>
            <w:gridSpan w:val="2"/>
          </w:tcPr>
          <w:p w:rsidR="00AF100D" w:rsidRDefault="00AF100D" w:rsidP="00AF100D">
            <w:r>
              <w:t>Formal Complaint</w:t>
            </w:r>
            <w:r w:rsidR="0007367C">
              <w:t>: 0</w:t>
            </w:r>
          </w:p>
        </w:tc>
        <w:tc>
          <w:tcPr>
            <w:tcW w:w="1775" w:type="dxa"/>
            <w:gridSpan w:val="2"/>
          </w:tcPr>
          <w:p w:rsidR="00AF100D" w:rsidRDefault="00AF100D" w:rsidP="00BF4B84">
            <w:r>
              <w:t>Compliment</w:t>
            </w:r>
            <w:r w:rsidR="0007367C">
              <w:t>:</w:t>
            </w:r>
            <w:r w:rsidR="007D488D">
              <w:t xml:space="preserve"> 68</w:t>
            </w:r>
          </w:p>
        </w:tc>
        <w:tc>
          <w:tcPr>
            <w:tcW w:w="1775" w:type="dxa"/>
          </w:tcPr>
          <w:p w:rsidR="00AF100D" w:rsidRDefault="00AF100D" w:rsidP="00BF4B84">
            <w:r>
              <w:t>Signposting only</w:t>
            </w:r>
            <w:r w:rsidR="0007367C">
              <w:t>: 0</w:t>
            </w:r>
          </w:p>
        </w:tc>
      </w:tr>
    </w:tbl>
    <w:p w:rsidR="00AF100D" w:rsidRDefault="00AF100D" w:rsidP="00BF4B8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100D" w:rsidTr="00AF100D">
        <w:tc>
          <w:tcPr>
            <w:tcW w:w="10682" w:type="dxa"/>
            <w:shd w:val="clear" w:color="auto" w:fill="BFBFBF" w:themeFill="background1" w:themeFillShade="BF"/>
          </w:tcPr>
          <w:p w:rsidR="00AF100D" w:rsidRPr="00AF100D" w:rsidRDefault="00AF100D" w:rsidP="00BF4B84">
            <w:pPr>
              <w:jc w:val="center"/>
              <w:rPr>
                <w:b/>
              </w:rPr>
            </w:pPr>
            <w:r w:rsidRPr="00AF100D">
              <w:rPr>
                <w:b/>
              </w:rPr>
              <w:t>Overview of the Report</w:t>
            </w:r>
          </w:p>
        </w:tc>
      </w:tr>
      <w:tr w:rsidR="00AF100D" w:rsidTr="00AF100D">
        <w:tc>
          <w:tcPr>
            <w:tcW w:w="10682" w:type="dxa"/>
            <w:shd w:val="clear" w:color="auto" w:fill="auto"/>
          </w:tcPr>
          <w:p w:rsidR="00DE3DE5" w:rsidRDefault="00DE3DE5" w:rsidP="0007367C"/>
          <w:p w:rsidR="00DE3DE5" w:rsidRPr="008A18ED" w:rsidRDefault="002C7AE1" w:rsidP="0007367C">
            <w:r w:rsidRPr="008A18ED">
              <w:t>This report</w:t>
            </w:r>
            <w:r w:rsidR="0007367C" w:rsidRPr="008A18ED">
              <w:t xml:space="preserve"> include</w:t>
            </w:r>
            <w:r w:rsidRPr="008A18ED">
              <w:t>s</w:t>
            </w:r>
            <w:r w:rsidR="0007367C" w:rsidRPr="008A18ED">
              <w:t xml:space="preserve"> </w:t>
            </w:r>
            <w:r w:rsidR="007D488D" w:rsidRPr="008A18ED">
              <w:t xml:space="preserve">feedback from people who have used </w:t>
            </w:r>
            <w:r w:rsidR="0007367C" w:rsidRPr="008A18ED">
              <w:t>GP’s,</w:t>
            </w:r>
            <w:r w:rsidR="007D488D" w:rsidRPr="008A18ED">
              <w:t xml:space="preserve"> Out of hours GP,</w:t>
            </w:r>
            <w:r w:rsidR="0007367C" w:rsidRPr="008A18ED">
              <w:t xml:space="preserve"> Pharmacy, Dentistry</w:t>
            </w:r>
            <w:r w:rsidR="007D488D" w:rsidRPr="008A18ED">
              <w:t xml:space="preserve"> and Optometry service</w:t>
            </w:r>
            <w:r w:rsidRPr="008A18ED">
              <w:t>s</w:t>
            </w:r>
            <w:r w:rsidR="007D488D" w:rsidRPr="008A18ED">
              <w:t>.</w:t>
            </w:r>
          </w:p>
          <w:p w:rsidR="00DE3DE5" w:rsidRPr="008A18ED" w:rsidRDefault="00DE3DE5" w:rsidP="007D488D"/>
          <w:p w:rsidR="00AF100D" w:rsidRPr="008A18ED" w:rsidRDefault="007D488D" w:rsidP="007D488D">
            <w:r w:rsidRPr="008A18ED">
              <w:t>There was no feedback received fo</w:t>
            </w:r>
            <w:r w:rsidR="00E061A0" w:rsidRPr="008A18ED">
              <w:t>r out of hours GP in the report and there were only a few cases for Dentistry and Optometry, so most of this feedback is regarding GP and Pharmacy services.</w:t>
            </w:r>
          </w:p>
          <w:p w:rsidR="009A099A" w:rsidRDefault="009A099A" w:rsidP="007D488D"/>
          <w:p w:rsidR="009A099A" w:rsidRPr="008A18ED" w:rsidRDefault="00E061A0" w:rsidP="007D488D">
            <w:r w:rsidRPr="008A18ED">
              <w:t>The majority of these experiences were positive</w:t>
            </w:r>
            <w:r w:rsidR="009A099A" w:rsidRPr="008A18ED">
              <w:t xml:space="preserve"> with 86% of people having a positive experience</w:t>
            </w:r>
            <w:r w:rsidR="00DE3DE5" w:rsidRPr="008A18ED">
              <w:t>.</w:t>
            </w:r>
          </w:p>
          <w:p w:rsidR="00DE3DE5" w:rsidRDefault="00DE3DE5" w:rsidP="007D488D"/>
          <w:p w:rsidR="00DC69E1" w:rsidRDefault="00DC69E1" w:rsidP="00DC69E1">
            <w:r w:rsidRPr="008A18ED">
              <w:t>All feedback received was through our on-line survey</w:t>
            </w:r>
            <w:r w:rsidR="008A18ED" w:rsidRPr="008A18ED">
              <w:t xml:space="preserve"> which is</w:t>
            </w:r>
            <w:r w:rsidRPr="008A18ED">
              <w:t xml:space="preserve"> about services both from Derby city and Derbyshire. The current ratio of services is in the chart below, though please note this is all services and not only primary services. </w:t>
            </w:r>
          </w:p>
          <w:p w:rsidR="00DC69E1" w:rsidRPr="004E3CD6" w:rsidRDefault="00DC69E1" w:rsidP="00DC69E1"/>
          <w:tbl>
            <w:tblPr>
              <w:tblW w:w="4950" w:type="pct"/>
              <w:jc w:val="center"/>
              <w:tblBorders>
                <w:left w:val="single" w:sz="6" w:space="0" w:color="CCCCCC"/>
                <w:bottom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3621"/>
              <w:gridCol w:w="4418"/>
              <w:gridCol w:w="931"/>
              <w:gridCol w:w="931"/>
            </w:tblGrid>
            <w:tr w:rsidR="00DC69E1" w:rsidTr="00FB0789">
              <w:trPr>
                <w:trHeight w:val="360"/>
                <w:tblHeader/>
                <w:jc w:val="center"/>
              </w:trPr>
              <w:tc>
                <w:tcPr>
                  <w:tcW w:w="6885" w:type="dxa"/>
                  <w:gridSpan w:val="3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45" w:type="dxa"/>
                    <w:left w:w="10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C69E1" w:rsidRPr="008A18ED" w:rsidRDefault="00DC69E1" w:rsidP="00FB07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8A18ED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Response Percent</w:t>
                  </w:r>
                </w:p>
              </w:tc>
              <w:tc>
                <w:tcPr>
                  <w:tcW w:w="960" w:type="dxa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C69E1" w:rsidRPr="008A18ED" w:rsidRDefault="00DC69E1" w:rsidP="00FB07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8A18ED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Response Total</w:t>
                  </w:r>
                </w:p>
              </w:tc>
            </w:tr>
            <w:tr w:rsidR="00DC69E1" w:rsidTr="00FB0789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1750" w:type="pct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0" w:type="dxa"/>
                    <w:left w:w="105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Derby city</w:t>
                  </w:r>
                </w:p>
              </w:tc>
              <w:tc>
                <w:tcPr>
                  <w:tcW w:w="3000" w:type="dxa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2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1"/>
                  </w:tblGrid>
                  <w:tr w:rsidR="00DC69E1" w:rsidRPr="00DC69E1" w:rsidTr="00FB078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right w:val="single" w:sz="6" w:space="0" w:color="CCCCCC"/>
                        </w:tcBorders>
                        <w:shd w:val="clear" w:color="auto" w:fill="FF3333"/>
                        <w:vAlign w:val="center"/>
                        <w:hideMark/>
                      </w:tcPr>
                      <w:p w:rsidR="00DC69E1" w:rsidRPr="00DC69E1" w:rsidRDefault="00DC69E1" w:rsidP="00FB0789">
                        <w:pPr>
                          <w:spacing w:line="15" w:lineRule="atLeast"/>
                          <w:rPr>
                            <w:rFonts w:ascii="Arial" w:eastAsia="Times New Roman" w:hAnsi="Arial" w:cs="Arial"/>
                            <w:sz w:val="14"/>
                            <w:szCs w:val="18"/>
                          </w:rPr>
                        </w:pPr>
                        <w:r w:rsidRPr="00DC69E1">
                          <w:rPr>
                            <w:rFonts w:ascii="Arial" w:eastAsia="Times New Roman" w:hAnsi="Arial" w:cs="Arial"/>
                            <w:sz w:val="14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DC69E1" w:rsidRPr="00DC69E1" w:rsidRDefault="00DC69E1" w:rsidP="00FB0789">
                  <w:pPr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59.26%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64</w:t>
                  </w:r>
                </w:p>
              </w:tc>
            </w:tr>
            <w:tr w:rsidR="00DC69E1" w:rsidTr="00FB0789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1750" w:type="pct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0" w:type="dxa"/>
                    <w:left w:w="105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Derbyshire county</w:t>
                  </w:r>
                </w:p>
              </w:tc>
              <w:tc>
                <w:tcPr>
                  <w:tcW w:w="3000" w:type="dxa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2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2"/>
                  </w:tblGrid>
                  <w:tr w:rsidR="00DC69E1" w:rsidRPr="00DC69E1" w:rsidTr="00FB078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right w:val="single" w:sz="6" w:space="0" w:color="CCCCCC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DC69E1" w:rsidRPr="00DC69E1" w:rsidRDefault="00DC69E1" w:rsidP="00FB0789">
                        <w:pPr>
                          <w:spacing w:line="15" w:lineRule="atLeast"/>
                          <w:rPr>
                            <w:rFonts w:ascii="Arial" w:eastAsia="Times New Roman" w:hAnsi="Arial" w:cs="Arial"/>
                            <w:sz w:val="14"/>
                            <w:szCs w:val="18"/>
                          </w:rPr>
                        </w:pPr>
                        <w:r w:rsidRPr="00DC69E1">
                          <w:rPr>
                            <w:rFonts w:ascii="Arial" w:eastAsia="Times New Roman" w:hAnsi="Arial" w:cs="Arial"/>
                            <w:sz w:val="14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DC69E1" w:rsidRPr="00DC69E1" w:rsidRDefault="00DC69E1" w:rsidP="00FB0789">
                  <w:pPr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42.59%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right w:val="single" w:sz="6" w:space="0" w:color="CCCCCC"/>
                  </w:tcBorders>
                  <w:shd w:val="clear" w:color="auto" w:fill="F9F8F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C69E1" w:rsidRPr="00DC69E1" w:rsidRDefault="00DC69E1" w:rsidP="00FB0789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DC69E1">
                    <w:rPr>
                      <w:rFonts w:ascii="Arial" w:eastAsia="Times New Roman" w:hAnsi="Arial" w:cs="Arial"/>
                      <w:sz w:val="14"/>
                      <w:szCs w:val="18"/>
                    </w:rPr>
                    <w:t>46</w:t>
                  </w:r>
                </w:p>
              </w:tc>
            </w:tr>
          </w:tbl>
          <w:p w:rsidR="00AF100D" w:rsidRDefault="0032274B" w:rsidP="00DE3DE5">
            <w:pPr>
              <w:tabs>
                <w:tab w:val="center" w:pos="5233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63D3075" wp14:editId="2478F7F5">
                  <wp:simplePos x="457200" y="527685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781300" cy="2266950"/>
                  <wp:effectExtent l="0" t="0" r="19050" b="19050"/>
                  <wp:wrapSquare wrapText="bothSides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F100D" w:rsidRPr="004E3CD6" w:rsidRDefault="00AF100D" w:rsidP="00BF4B84">
      <w:pPr>
        <w:jc w:val="center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F100D" w:rsidTr="00F57CF0">
        <w:tc>
          <w:tcPr>
            <w:tcW w:w="10740" w:type="dxa"/>
            <w:shd w:val="clear" w:color="auto" w:fill="BFBFBF" w:themeFill="background1" w:themeFillShade="BF"/>
          </w:tcPr>
          <w:p w:rsidR="00AF100D" w:rsidRPr="004E3CD6" w:rsidRDefault="00AF100D" w:rsidP="00AF100D">
            <w:pPr>
              <w:jc w:val="center"/>
              <w:rPr>
                <w:b/>
              </w:rPr>
            </w:pPr>
            <w:r w:rsidRPr="004E3CD6">
              <w:rPr>
                <w:b/>
              </w:rPr>
              <w:t xml:space="preserve">Positive Trends or Themes noted </w:t>
            </w:r>
          </w:p>
        </w:tc>
      </w:tr>
      <w:tr w:rsidR="00AF100D" w:rsidTr="00F57CF0">
        <w:tc>
          <w:tcPr>
            <w:tcW w:w="10740" w:type="dxa"/>
            <w:shd w:val="clear" w:color="auto" w:fill="auto"/>
          </w:tcPr>
          <w:p w:rsidR="003204CD" w:rsidRDefault="003204CD" w:rsidP="00DE3DE5">
            <w:r w:rsidRPr="00DC69E1">
              <w:rPr>
                <w:b/>
              </w:rPr>
              <w:t>GP</w:t>
            </w:r>
          </w:p>
          <w:p w:rsidR="003204CD" w:rsidRDefault="003204CD" w:rsidP="00DE3DE5">
            <w:r w:rsidRPr="00FE40C1">
              <w:t>The majority of comments were positive regarding GP services. the main positive comments were in regards to:</w:t>
            </w:r>
          </w:p>
          <w:p w:rsidR="003204CD" w:rsidRDefault="003204CD" w:rsidP="00DE3DE5"/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 xml:space="preserve">Positive experiences of virtual appointments (telephone photos, emailing services) </w:t>
            </w:r>
          </w:p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>The service they received being fast, prompt and efficient.</w:t>
            </w:r>
          </w:p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>The ease of access to the service/s and timing on call backs</w:t>
            </w:r>
          </w:p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>The overall services</w:t>
            </w:r>
          </w:p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>The communication of the services</w:t>
            </w:r>
          </w:p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>The advice, care and treatments given</w:t>
            </w:r>
          </w:p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>The staff at the services</w:t>
            </w:r>
          </w:p>
          <w:p w:rsidR="003204CD" w:rsidRPr="00FE40C1" w:rsidRDefault="003204CD" w:rsidP="003204CD">
            <w:pPr>
              <w:pStyle w:val="ListParagraph"/>
              <w:numPr>
                <w:ilvl w:val="0"/>
                <w:numId w:val="6"/>
              </w:numPr>
            </w:pPr>
            <w:r w:rsidRPr="00FE40C1">
              <w:t>Feeling safe, good adaptations put in place and that there was efficient PPE.</w:t>
            </w:r>
          </w:p>
          <w:p w:rsidR="003204CD" w:rsidRPr="00FE40C1" w:rsidRDefault="003204CD" w:rsidP="003204CD">
            <w:r w:rsidRPr="00FE40C1">
              <w:lastRenderedPageBreak/>
              <w:t xml:space="preserve">In regards to virtual appointments there were a few additional comments that this reduces unnecessary travel and time out of work and hoped that some of these change were permeant. </w:t>
            </w:r>
          </w:p>
          <w:p w:rsidR="002C7AE1" w:rsidRDefault="002C7AE1" w:rsidP="002C7AE1"/>
          <w:p w:rsidR="002C7AE1" w:rsidRPr="00FE40C1" w:rsidRDefault="002C7AE1" w:rsidP="002C7AE1">
            <w:pPr>
              <w:rPr>
                <w:b/>
              </w:rPr>
            </w:pPr>
            <w:r w:rsidRPr="00FE40C1">
              <w:rPr>
                <w:b/>
              </w:rPr>
              <w:t xml:space="preserve">Pharmacy </w:t>
            </w:r>
          </w:p>
          <w:p w:rsidR="003204CD" w:rsidRPr="00FE40C1" w:rsidRDefault="002C7AE1" w:rsidP="002C7AE1">
            <w:r w:rsidRPr="00FE40C1">
              <w:t xml:space="preserve">People also spoke about their </w:t>
            </w:r>
            <w:r w:rsidR="00DC69E1" w:rsidRPr="00FE40C1">
              <w:t xml:space="preserve">positive </w:t>
            </w:r>
            <w:r w:rsidRPr="00FE40C1">
              <w:t>exp</w:t>
            </w:r>
            <w:r w:rsidR="00DC69E1" w:rsidRPr="00FE40C1">
              <w:t>eriences in using the Pharmacies:</w:t>
            </w:r>
          </w:p>
          <w:p w:rsidR="003204CD" w:rsidRPr="00FE40C1" w:rsidRDefault="00DC69E1" w:rsidP="00DC69E1">
            <w:pPr>
              <w:pStyle w:val="ListParagraph"/>
              <w:numPr>
                <w:ilvl w:val="0"/>
                <w:numId w:val="7"/>
              </w:numPr>
            </w:pPr>
            <w:r w:rsidRPr="00FE40C1">
              <w:t>E</w:t>
            </w:r>
            <w:r w:rsidR="002C7AE1" w:rsidRPr="00FE40C1">
              <w:t>asy access even if they can’t personally go to the pharmacy</w:t>
            </w:r>
          </w:p>
          <w:p w:rsidR="003204CD" w:rsidRPr="00FE40C1" w:rsidRDefault="00DC69E1" w:rsidP="00DC69E1">
            <w:pPr>
              <w:pStyle w:val="ListParagraph"/>
              <w:numPr>
                <w:ilvl w:val="0"/>
                <w:numId w:val="7"/>
              </w:numPr>
            </w:pPr>
            <w:r w:rsidRPr="00FE40C1">
              <w:t>P</w:t>
            </w:r>
            <w:r w:rsidR="002C7AE1" w:rsidRPr="00FE40C1">
              <w:t>eople stated they have managed to get it delivered by the Pharmacy or have had it picked up for them</w:t>
            </w:r>
          </w:p>
          <w:p w:rsidR="003204CD" w:rsidRPr="00FE40C1" w:rsidRDefault="00DC69E1" w:rsidP="00DC69E1">
            <w:pPr>
              <w:pStyle w:val="ListParagraph"/>
              <w:numPr>
                <w:ilvl w:val="0"/>
                <w:numId w:val="7"/>
              </w:numPr>
            </w:pPr>
            <w:r w:rsidRPr="00FE40C1">
              <w:t>F</w:t>
            </w:r>
            <w:r w:rsidR="002C7AE1" w:rsidRPr="00FE40C1">
              <w:t>eeling safe with staff wearing PPE and limiting the number of peo</w:t>
            </w:r>
            <w:r w:rsidR="003204CD" w:rsidRPr="00FE40C1">
              <w:t>ple they allow in</w:t>
            </w:r>
          </w:p>
          <w:p w:rsidR="003204CD" w:rsidRPr="00FE40C1" w:rsidRDefault="003204CD" w:rsidP="00DC69E1">
            <w:pPr>
              <w:pStyle w:val="ListParagraph"/>
              <w:numPr>
                <w:ilvl w:val="0"/>
                <w:numId w:val="7"/>
              </w:numPr>
            </w:pPr>
            <w:r w:rsidRPr="00FE40C1">
              <w:t>Happy with the adaptation’s put in place</w:t>
            </w:r>
            <w:r w:rsidR="00DC69E1" w:rsidRPr="00FE40C1">
              <w:t xml:space="preserve"> and not having to queue for too long</w:t>
            </w:r>
          </w:p>
          <w:p w:rsidR="00AF100D" w:rsidRPr="00FE40C1" w:rsidRDefault="00DC69E1" w:rsidP="00DC69E1">
            <w:pPr>
              <w:pStyle w:val="ListParagraph"/>
              <w:numPr>
                <w:ilvl w:val="0"/>
                <w:numId w:val="7"/>
              </w:numPr>
            </w:pPr>
            <w:r w:rsidRPr="00FE40C1">
              <w:t>P</w:t>
            </w:r>
            <w:r w:rsidR="002C7AE1" w:rsidRPr="00FE40C1">
              <w:t>eople stated the collection time slots were good and their medication was always ready on time.</w:t>
            </w:r>
          </w:p>
          <w:p w:rsidR="002C7AE1" w:rsidRPr="002C7AE1" w:rsidRDefault="002C7AE1" w:rsidP="002C7AE1"/>
        </w:tc>
      </w:tr>
    </w:tbl>
    <w:p w:rsidR="00AF100D" w:rsidRPr="00FE40C1" w:rsidRDefault="00AF100D" w:rsidP="00BF4B84">
      <w:pPr>
        <w:jc w:val="center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57CF0" w:rsidTr="00F57CF0">
        <w:tc>
          <w:tcPr>
            <w:tcW w:w="10740" w:type="dxa"/>
            <w:shd w:val="clear" w:color="auto" w:fill="BFBFBF" w:themeFill="background1" w:themeFillShade="BF"/>
          </w:tcPr>
          <w:p w:rsidR="00F57CF0" w:rsidRPr="00FE40C1" w:rsidRDefault="00F57CF0" w:rsidP="00DE3DE5">
            <w:pPr>
              <w:jc w:val="center"/>
              <w:rPr>
                <w:b/>
              </w:rPr>
            </w:pPr>
            <w:r w:rsidRPr="00FE40C1">
              <w:rPr>
                <w:b/>
              </w:rPr>
              <w:t xml:space="preserve">Negative Trends or Themes noted </w:t>
            </w:r>
          </w:p>
        </w:tc>
      </w:tr>
      <w:tr w:rsidR="00F57CF0" w:rsidTr="00F57CF0">
        <w:tc>
          <w:tcPr>
            <w:tcW w:w="10740" w:type="dxa"/>
            <w:shd w:val="clear" w:color="auto" w:fill="auto"/>
          </w:tcPr>
          <w:p w:rsidR="002C7AE1" w:rsidRPr="00FE40C1" w:rsidRDefault="002C7AE1" w:rsidP="002C7AE1"/>
          <w:p w:rsidR="002C7AE1" w:rsidRPr="00FE40C1" w:rsidRDefault="002C7AE1" w:rsidP="002C7AE1">
            <w:pPr>
              <w:rPr>
                <w:b/>
              </w:rPr>
            </w:pPr>
            <w:r w:rsidRPr="00FE40C1">
              <w:rPr>
                <w:b/>
              </w:rPr>
              <w:t>GP’s</w:t>
            </w:r>
          </w:p>
          <w:p w:rsidR="00DC69E1" w:rsidRDefault="00DC69E1" w:rsidP="002C7AE1">
            <w:pPr>
              <w:rPr>
                <w:b/>
              </w:rPr>
            </w:pPr>
          </w:p>
          <w:p w:rsidR="00DC69E1" w:rsidRPr="00FE40C1" w:rsidRDefault="00DC69E1" w:rsidP="002C7AE1">
            <w:r w:rsidRPr="00FE40C1">
              <w:t>There was a low</w:t>
            </w:r>
            <w:r w:rsidR="00FE40C1" w:rsidRPr="00FE40C1">
              <w:t xml:space="preserve"> amount of negative comments and</w:t>
            </w:r>
            <w:r w:rsidRPr="00FE40C1">
              <w:t xml:space="preserve"> no emerging themes or trends, but some areas to monitor</w:t>
            </w:r>
            <w:r w:rsidR="00C46FC5" w:rsidRPr="00FE40C1">
              <w:t xml:space="preserve"> are:</w:t>
            </w:r>
          </w:p>
          <w:p w:rsidR="00DC69E1" w:rsidRDefault="00DC69E1" w:rsidP="002C7AE1">
            <w:pPr>
              <w:rPr>
                <w:b/>
              </w:rPr>
            </w:pPr>
          </w:p>
          <w:p w:rsidR="00DC69E1" w:rsidRPr="00FE40C1" w:rsidRDefault="00DC69E1" w:rsidP="002C7AE1">
            <w:pPr>
              <w:rPr>
                <w:b/>
              </w:rPr>
            </w:pPr>
            <w:r w:rsidRPr="00FE40C1">
              <w:rPr>
                <w:b/>
              </w:rPr>
              <w:t xml:space="preserve">Key areas: </w:t>
            </w:r>
          </w:p>
          <w:p w:rsidR="00FB42A6" w:rsidRPr="00FE40C1" w:rsidRDefault="00FB42A6" w:rsidP="00FB42A6">
            <w:pPr>
              <w:pStyle w:val="ListParagraph"/>
              <w:numPr>
                <w:ilvl w:val="0"/>
                <w:numId w:val="8"/>
              </w:numPr>
            </w:pPr>
            <w:r w:rsidRPr="00FE40C1">
              <w:t>Negative experiences of treatment and care (3 comments)</w:t>
            </w:r>
          </w:p>
          <w:p w:rsidR="00FB42A6" w:rsidRPr="00FB42A6" w:rsidRDefault="00FB42A6" w:rsidP="00FB42A6">
            <w:pPr>
              <w:pStyle w:val="ListParagraph"/>
              <w:numPr>
                <w:ilvl w:val="0"/>
                <w:numId w:val="8"/>
              </w:numPr>
            </w:pPr>
            <w:r w:rsidRPr="00FE40C1">
              <w:t>Preferring to attend the surgery and/or face to face appointments. (3 comments)</w:t>
            </w:r>
          </w:p>
          <w:p w:rsidR="00FB42A6" w:rsidRPr="00FE40C1" w:rsidRDefault="00FB42A6" w:rsidP="00FB42A6">
            <w:pPr>
              <w:pStyle w:val="ListParagraph"/>
              <w:numPr>
                <w:ilvl w:val="0"/>
                <w:numId w:val="8"/>
              </w:numPr>
            </w:pPr>
            <w:r w:rsidRPr="00FE40C1">
              <w:t xml:space="preserve">Issues with communication with patients and other services (MOL) (3 comments) </w:t>
            </w:r>
          </w:p>
          <w:p w:rsidR="00FB42A6" w:rsidRPr="00FE40C1" w:rsidRDefault="00FB42A6" w:rsidP="00FB42A6">
            <w:pPr>
              <w:pStyle w:val="ListParagraph"/>
              <w:numPr>
                <w:ilvl w:val="0"/>
                <w:numId w:val="8"/>
              </w:numPr>
            </w:pPr>
            <w:r w:rsidRPr="00FE40C1">
              <w:t>Staff attitudes (2 comments)</w:t>
            </w:r>
          </w:p>
          <w:p w:rsidR="00FB42A6" w:rsidRDefault="00FB42A6" w:rsidP="00FB42A6"/>
          <w:p w:rsidR="00FB42A6" w:rsidRPr="00FE40C1" w:rsidRDefault="00FB42A6" w:rsidP="00FB42A6">
            <w:pPr>
              <w:pStyle w:val="ListParagraph"/>
              <w:numPr>
                <w:ilvl w:val="0"/>
                <w:numId w:val="8"/>
              </w:numPr>
            </w:pPr>
            <w:r w:rsidRPr="00FE40C1">
              <w:t xml:space="preserve">There were 3 people that mentioned that they had had referrals to secondary care but were unware </w:t>
            </w:r>
            <w:r w:rsidR="007C072B">
              <w:t>on when this would be happening. (to link in with Acute Sector Report)</w:t>
            </w:r>
            <w:r w:rsidRPr="00FE40C1">
              <w:t xml:space="preserve"> </w:t>
            </w:r>
          </w:p>
          <w:p w:rsidR="00FB42A6" w:rsidRDefault="00FB42A6" w:rsidP="002C7AE1">
            <w:pPr>
              <w:rPr>
                <w:b/>
              </w:rPr>
            </w:pPr>
          </w:p>
          <w:p w:rsidR="00FB42A6" w:rsidRPr="00FE40C1" w:rsidRDefault="00FB42A6" w:rsidP="002C7AE1">
            <w:pPr>
              <w:rPr>
                <w:b/>
              </w:rPr>
            </w:pPr>
            <w:r w:rsidRPr="00FE40C1">
              <w:rPr>
                <w:b/>
              </w:rPr>
              <w:t>Individual experiences</w:t>
            </w:r>
          </w:p>
          <w:p w:rsidR="00FB42A6" w:rsidRPr="00FE40C1" w:rsidRDefault="00FB42A6" w:rsidP="00FB42A6">
            <w:pPr>
              <w:pStyle w:val="ListParagraph"/>
              <w:numPr>
                <w:ilvl w:val="0"/>
                <w:numId w:val="9"/>
              </w:numPr>
            </w:pPr>
            <w:r w:rsidRPr="00FE40C1">
              <w:t>Could not get through on the phone</w:t>
            </w:r>
          </w:p>
          <w:p w:rsidR="00FB42A6" w:rsidRPr="00FE40C1" w:rsidRDefault="00FB42A6" w:rsidP="00FB42A6">
            <w:pPr>
              <w:pStyle w:val="ListParagraph"/>
              <w:numPr>
                <w:ilvl w:val="0"/>
                <w:numId w:val="9"/>
              </w:numPr>
            </w:pPr>
            <w:r w:rsidRPr="00FE40C1">
              <w:t>No instructions from GP about how to get a blood test done or a</w:t>
            </w:r>
            <w:r w:rsidR="008A18ED" w:rsidRPr="00FE40C1">
              <w:t>bout the changes to the system</w:t>
            </w:r>
          </w:p>
          <w:p w:rsidR="00FB42A6" w:rsidRPr="00FE40C1" w:rsidRDefault="00FB42A6" w:rsidP="00FB42A6">
            <w:pPr>
              <w:pStyle w:val="ListParagraph"/>
              <w:numPr>
                <w:ilvl w:val="0"/>
                <w:numId w:val="9"/>
              </w:numPr>
            </w:pPr>
            <w:r w:rsidRPr="00FE40C1">
              <w:t>Overdue primary care treatment</w:t>
            </w:r>
          </w:p>
          <w:p w:rsidR="00FB42A6" w:rsidRDefault="00FB42A6" w:rsidP="00FB42A6">
            <w:pPr>
              <w:pStyle w:val="ListParagraph"/>
              <w:numPr>
                <w:ilvl w:val="0"/>
                <w:numId w:val="9"/>
              </w:numPr>
            </w:pPr>
            <w:r w:rsidRPr="00FE40C1">
              <w:t>Little information about what GPs are doing/offering during pandemic – questioning the reduction in services</w:t>
            </w:r>
          </w:p>
          <w:p w:rsidR="00136C26" w:rsidRDefault="00136C26" w:rsidP="00136C26"/>
          <w:p w:rsidR="00136C26" w:rsidRPr="00136C26" w:rsidRDefault="00136C26" w:rsidP="00136C26">
            <w:pPr>
              <w:rPr>
                <w:b/>
              </w:rPr>
            </w:pPr>
            <w:r w:rsidRPr="00136C26">
              <w:rPr>
                <w:b/>
              </w:rPr>
              <w:t xml:space="preserve">GP  and MOL </w:t>
            </w:r>
          </w:p>
          <w:p w:rsidR="00136C26" w:rsidRPr="00FE40C1" w:rsidRDefault="00136C26" w:rsidP="00136C26">
            <w:pPr>
              <w:rPr>
                <w:b/>
              </w:rPr>
            </w:pPr>
            <w:r w:rsidRPr="00FE40C1">
              <w:rPr>
                <w:b/>
              </w:rPr>
              <w:t>Individual experiences</w:t>
            </w:r>
          </w:p>
          <w:p w:rsidR="00136C26" w:rsidRPr="00FE40C1" w:rsidRDefault="00136C26" w:rsidP="00136C26">
            <w:r>
              <w:t>Issue with c</w:t>
            </w:r>
            <w:r w:rsidRPr="00136C26">
              <w:t xml:space="preserve">ommunication </w:t>
            </w:r>
            <w:r>
              <w:t>between</w:t>
            </w:r>
            <w:r w:rsidRPr="00136C26">
              <w:t xml:space="preserve"> GP and the Medication Order</w:t>
            </w:r>
            <w:r w:rsidR="007C072B">
              <w:t>ing Line</w:t>
            </w:r>
            <w:r w:rsidRPr="00136C26">
              <w:t xml:space="preserve"> </w:t>
            </w:r>
            <w:r>
              <w:t xml:space="preserve">about medication. This individual stated it had occurred a few times and had resulted in not having their medication. </w:t>
            </w:r>
          </w:p>
          <w:p w:rsidR="00DC69E1" w:rsidRPr="004E3CD6" w:rsidRDefault="00DC69E1" w:rsidP="002C7AE1">
            <w:pPr>
              <w:rPr>
                <w:b/>
              </w:rPr>
            </w:pPr>
          </w:p>
          <w:p w:rsidR="002C7AE1" w:rsidRPr="00FE40C1" w:rsidRDefault="002C7AE1" w:rsidP="002C7AE1">
            <w:pPr>
              <w:rPr>
                <w:b/>
              </w:rPr>
            </w:pPr>
            <w:r w:rsidRPr="00FE40C1">
              <w:rPr>
                <w:b/>
              </w:rPr>
              <w:t>Pharmacy</w:t>
            </w:r>
            <w:r w:rsidR="00136C26">
              <w:rPr>
                <w:b/>
              </w:rPr>
              <w:t xml:space="preserve"> </w:t>
            </w:r>
          </w:p>
          <w:p w:rsidR="002C7AE1" w:rsidRPr="00FE40C1" w:rsidRDefault="002C7AE1" w:rsidP="002C7AE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Open Sans"/>
              </w:rPr>
            </w:pPr>
            <w:r w:rsidRPr="00FE40C1">
              <w:rPr>
                <w:rFonts w:ascii="Calibri" w:hAnsi="Calibri" w:cs="Open Sans"/>
              </w:rPr>
              <w:t>One person mentioned their Pharmacy has had limited delivery slots so they have been using a friend to collect.</w:t>
            </w:r>
          </w:p>
          <w:p w:rsidR="002C7AE1" w:rsidRPr="002C7AE1" w:rsidRDefault="002C7AE1" w:rsidP="002C7AE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Open Sans"/>
              </w:rPr>
            </w:pPr>
            <w:r w:rsidRPr="00FE40C1">
              <w:rPr>
                <w:rFonts w:ascii="Calibri" w:hAnsi="Calibri" w:cs="Open Sans"/>
              </w:rPr>
              <w:t xml:space="preserve">A couple of people said the communication </w:t>
            </w:r>
            <w:r w:rsidR="00C46FC5" w:rsidRPr="00FE40C1">
              <w:rPr>
                <w:rFonts w:ascii="Calibri" w:hAnsi="Calibri" w:cs="Open Sans"/>
              </w:rPr>
              <w:t>could be bette</w:t>
            </w:r>
            <w:r w:rsidR="008A18ED" w:rsidRPr="00FE40C1">
              <w:rPr>
                <w:rFonts w:ascii="Calibri" w:hAnsi="Calibri" w:cs="Open Sans"/>
              </w:rPr>
              <w:t>r, with individual experiences of being given</w:t>
            </w:r>
            <w:r w:rsidRPr="00FE40C1">
              <w:rPr>
                <w:rFonts w:ascii="Calibri" w:hAnsi="Calibri" w:cs="Open Sans"/>
              </w:rPr>
              <w:t xml:space="preserve"> the wrong area/ phone no. for the voluntary service</w:t>
            </w:r>
            <w:r w:rsidR="008A18ED" w:rsidRPr="00FE40C1">
              <w:rPr>
                <w:rFonts w:ascii="Calibri" w:hAnsi="Calibri" w:cs="Open Sans"/>
              </w:rPr>
              <w:t xml:space="preserve">s </w:t>
            </w:r>
            <w:r w:rsidRPr="00FE40C1">
              <w:rPr>
                <w:rFonts w:ascii="Calibri" w:hAnsi="Calibri" w:cs="Open Sans"/>
              </w:rPr>
              <w:t xml:space="preserve">and </w:t>
            </w:r>
            <w:r w:rsidR="008A18ED" w:rsidRPr="00FE40C1">
              <w:rPr>
                <w:rFonts w:ascii="Calibri" w:hAnsi="Calibri" w:cs="Open Sans"/>
              </w:rPr>
              <w:t xml:space="preserve"> that </w:t>
            </w:r>
            <w:r w:rsidRPr="00FE40C1">
              <w:rPr>
                <w:rFonts w:ascii="Calibri" w:hAnsi="Calibri" w:cs="Open Sans"/>
              </w:rPr>
              <w:t>delivery did not happen.</w:t>
            </w:r>
          </w:p>
          <w:p w:rsidR="002C7AE1" w:rsidRPr="002C7AE1" w:rsidRDefault="002C7AE1" w:rsidP="002C7AE1">
            <w:pPr>
              <w:rPr>
                <w:rFonts w:ascii="Calibri" w:hAnsi="Calibri"/>
                <w:b/>
              </w:rPr>
            </w:pPr>
          </w:p>
          <w:p w:rsidR="002C7AE1" w:rsidRDefault="002C7AE1" w:rsidP="002C7AE1"/>
          <w:p w:rsidR="002C7AE1" w:rsidRPr="00FE40C1" w:rsidRDefault="002C7AE1" w:rsidP="002C7AE1">
            <w:r w:rsidRPr="00FE40C1">
              <w:t>There were no negative comments regarding Optometry services.</w:t>
            </w:r>
          </w:p>
          <w:p w:rsidR="00F57CF0" w:rsidRPr="00AF100D" w:rsidRDefault="00F57CF0" w:rsidP="002C7AE1">
            <w:pPr>
              <w:rPr>
                <w:b/>
              </w:rPr>
            </w:pPr>
          </w:p>
        </w:tc>
      </w:tr>
    </w:tbl>
    <w:p w:rsidR="00AF100D" w:rsidRPr="00FE40C1" w:rsidRDefault="00AF100D" w:rsidP="00BF4B84">
      <w:pPr>
        <w:jc w:val="center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57CF0" w:rsidRPr="00AF100D" w:rsidTr="00DE3DE5">
        <w:tc>
          <w:tcPr>
            <w:tcW w:w="10740" w:type="dxa"/>
            <w:shd w:val="clear" w:color="auto" w:fill="BFBFBF" w:themeFill="background1" w:themeFillShade="BF"/>
          </w:tcPr>
          <w:p w:rsidR="00F57CF0" w:rsidRPr="00FE40C1" w:rsidRDefault="00F57CF0" w:rsidP="00DE3DE5">
            <w:pPr>
              <w:jc w:val="center"/>
              <w:rPr>
                <w:b/>
              </w:rPr>
            </w:pPr>
            <w:r w:rsidRPr="00FE40C1">
              <w:rPr>
                <w:b/>
              </w:rPr>
              <w:t xml:space="preserve">Other notes </w:t>
            </w:r>
          </w:p>
        </w:tc>
      </w:tr>
      <w:tr w:rsidR="00F57CF0" w:rsidRPr="00AF100D" w:rsidTr="00DE3DE5">
        <w:tc>
          <w:tcPr>
            <w:tcW w:w="10740" w:type="dxa"/>
            <w:shd w:val="clear" w:color="auto" w:fill="auto"/>
          </w:tcPr>
          <w:p w:rsidR="002C7AE1" w:rsidRPr="002C7AE1" w:rsidRDefault="002C7AE1" w:rsidP="002C7AE1">
            <w:pPr>
              <w:pStyle w:val="ListParagraph"/>
              <w:rPr>
                <w:rFonts w:ascii="Calibri" w:hAnsi="Calibri"/>
                <w:b/>
              </w:rPr>
            </w:pPr>
          </w:p>
          <w:p w:rsidR="00F57CF0" w:rsidRPr="00AF100D" w:rsidRDefault="00F57CF0" w:rsidP="00DE3DE5">
            <w:pPr>
              <w:jc w:val="center"/>
              <w:rPr>
                <w:b/>
              </w:rPr>
            </w:pPr>
          </w:p>
        </w:tc>
      </w:tr>
    </w:tbl>
    <w:p w:rsidR="00F57CF0" w:rsidRPr="004E3CD6" w:rsidRDefault="00F57CF0" w:rsidP="00BF4B84">
      <w:pPr>
        <w:jc w:val="center"/>
      </w:pPr>
    </w:p>
    <w:sectPr w:rsidR="00F57CF0" w:rsidRPr="004E3CD6" w:rsidSect="00BF4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823"/>
    <w:multiLevelType w:val="hybridMultilevel"/>
    <w:tmpl w:val="9B34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054D"/>
    <w:multiLevelType w:val="hybridMultilevel"/>
    <w:tmpl w:val="2996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91556"/>
    <w:multiLevelType w:val="hybridMultilevel"/>
    <w:tmpl w:val="76D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0043"/>
    <w:multiLevelType w:val="hybridMultilevel"/>
    <w:tmpl w:val="95A4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B7448"/>
    <w:multiLevelType w:val="hybridMultilevel"/>
    <w:tmpl w:val="7B1E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D2B92"/>
    <w:multiLevelType w:val="hybridMultilevel"/>
    <w:tmpl w:val="609CD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F3A5E"/>
    <w:multiLevelType w:val="hybridMultilevel"/>
    <w:tmpl w:val="ED10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24C2C"/>
    <w:multiLevelType w:val="hybridMultilevel"/>
    <w:tmpl w:val="EE50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13484"/>
    <w:multiLevelType w:val="hybridMultilevel"/>
    <w:tmpl w:val="D392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84"/>
    <w:rsid w:val="0007367C"/>
    <w:rsid w:val="00136C26"/>
    <w:rsid w:val="002278BF"/>
    <w:rsid w:val="0023477B"/>
    <w:rsid w:val="002C7AE1"/>
    <w:rsid w:val="00316BCA"/>
    <w:rsid w:val="003204CD"/>
    <w:rsid w:val="0032274B"/>
    <w:rsid w:val="00380E3F"/>
    <w:rsid w:val="004A7342"/>
    <w:rsid w:val="004E3CD6"/>
    <w:rsid w:val="0050534B"/>
    <w:rsid w:val="007C072B"/>
    <w:rsid w:val="007D488D"/>
    <w:rsid w:val="008A18ED"/>
    <w:rsid w:val="009A099A"/>
    <w:rsid w:val="00AF100D"/>
    <w:rsid w:val="00BF4B84"/>
    <w:rsid w:val="00C46FC5"/>
    <w:rsid w:val="00D51785"/>
    <w:rsid w:val="00D66C33"/>
    <w:rsid w:val="00DC69E1"/>
    <w:rsid w:val="00DE3DE5"/>
    <w:rsid w:val="00E061A0"/>
    <w:rsid w:val="00F121A6"/>
    <w:rsid w:val="00F57CF0"/>
    <w:rsid w:val="00FB42A6"/>
    <w:rsid w:val="00FC3A6F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cid:image001.png@01D5C722.5083D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242009132420091"/>
          <c:y val="3.36134453781512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51943335850142E-2"/>
          <c:y val="0.29937051986148788"/>
          <c:w val="0.47762449214396147"/>
          <c:h val="0.5859930743951123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Type of comments</c:v>
                </c:pt>
              </c:strCache>
            </c:strRef>
          </c:tx>
          <c:explosion val="25"/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Positive 86%</c:v>
                </c:pt>
                <c:pt idx="1">
                  <c:v>Negative 9%</c:v>
                </c:pt>
                <c:pt idx="2">
                  <c:v>Neutral 3%</c:v>
                </c:pt>
                <c:pt idx="3">
                  <c:v>Mixed 2%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207</c:v>
                </c:pt>
                <c:pt idx="1">
                  <c:v>21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806061913493688"/>
          <c:y val="0.38415492181124422"/>
          <c:w val="0.31193938086506312"/>
          <c:h val="0.405219347581552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Soraka, Beth</dc:creator>
  <cp:lastModifiedBy>Lloyd Karen</cp:lastModifiedBy>
  <cp:revision>2</cp:revision>
  <dcterms:created xsi:type="dcterms:W3CDTF">2020-08-19T15:03:00Z</dcterms:created>
  <dcterms:modified xsi:type="dcterms:W3CDTF">2020-08-19T15:03:00Z</dcterms:modified>
</cp:coreProperties>
</file>